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77A4" w14:textId="77777777" w:rsidR="004B7B6C" w:rsidRDefault="00FD2F19">
      <w:r w:rsidRPr="000D4942">
        <w:rPr>
          <w:noProof/>
        </w:rPr>
        <w:drawing>
          <wp:anchor distT="0" distB="0" distL="114300" distR="114300" simplePos="0" relativeHeight="251659264" behindDoc="1" locked="0" layoutInCell="1" allowOverlap="1" wp14:anchorId="178BF1C2" wp14:editId="6EC66E86">
            <wp:simplePos x="0" y="0"/>
            <wp:positionH relativeFrom="margin">
              <wp:align>left</wp:align>
            </wp:positionH>
            <wp:positionV relativeFrom="page">
              <wp:posOffset>861060</wp:posOffset>
            </wp:positionV>
            <wp:extent cx="2616200" cy="561340"/>
            <wp:effectExtent l="0" t="0" r="0" b="0"/>
            <wp:wrapTight wrapText="bothSides">
              <wp:wrapPolygon edited="0">
                <wp:start x="8650" y="0"/>
                <wp:lineTo x="0" y="0"/>
                <wp:lineTo x="0" y="20525"/>
                <wp:lineTo x="16829" y="20525"/>
                <wp:lineTo x="21390" y="20525"/>
                <wp:lineTo x="21390" y="17593"/>
                <wp:lineTo x="20604" y="11729"/>
                <wp:lineTo x="21390" y="2932"/>
                <wp:lineTo x="21390" y="0"/>
                <wp:lineTo x="8650" y="0"/>
              </wp:wrapPolygon>
            </wp:wrapTight>
            <wp:docPr id="2" name="Picture 2" descr="X:\LP Team\Linda Midyett\Marketing\PestSureLogo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LP Team\Linda Midyett\Marketing\PestSureLogo no backgroun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4978F" w14:textId="77777777" w:rsidR="000D4942" w:rsidRDefault="000D4942"/>
    <w:p w14:paraId="77D71FA3" w14:textId="77777777" w:rsidR="000D4942" w:rsidRDefault="000D4942" w:rsidP="0078778B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85"/>
        <w:gridCol w:w="2430"/>
        <w:gridCol w:w="3420"/>
      </w:tblGrid>
      <w:tr w:rsidR="000D4942" w:rsidRPr="00436FAC" w14:paraId="1DD3A61E" w14:textId="77777777" w:rsidTr="001366C2">
        <w:tc>
          <w:tcPr>
            <w:tcW w:w="1885" w:type="dxa"/>
            <w:shd w:val="clear" w:color="auto" w:fill="FBE4D5" w:themeFill="accent2" w:themeFillTint="33"/>
          </w:tcPr>
          <w:p w14:paraId="12E5B67D" w14:textId="77777777" w:rsidR="000D4942" w:rsidRPr="000D4942" w:rsidRDefault="000D4942" w:rsidP="001366C2">
            <w:pPr>
              <w:jc w:val="center"/>
              <w:rPr>
                <w:b/>
                <w:sz w:val="32"/>
              </w:rPr>
            </w:pPr>
            <w:r w:rsidRPr="000D4942">
              <w:rPr>
                <w:b/>
                <w:sz w:val="32"/>
              </w:rPr>
              <w:t>Ladder Height</w:t>
            </w:r>
          </w:p>
        </w:tc>
        <w:tc>
          <w:tcPr>
            <w:tcW w:w="2430" w:type="dxa"/>
            <w:shd w:val="clear" w:color="auto" w:fill="FBE4D5" w:themeFill="accent2" w:themeFillTint="33"/>
          </w:tcPr>
          <w:p w14:paraId="1196A012" w14:textId="77777777" w:rsidR="000D4942" w:rsidRPr="000D4942" w:rsidRDefault="000D4942" w:rsidP="001366C2">
            <w:pPr>
              <w:jc w:val="center"/>
              <w:rPr>
                <w:b/>
                <w:sz w:val="32"/>
              </w:rPr>
            </w:pPr>
            <w:r w:rsidRPr="000D4942">
              <w:rPr>
                <w:b/>
                <w:sz w:val="32"/>
              </w:rPr>
              <w:t>Maximum Reach</w:t>
            </w:r>
          </w:p>
        </w:tc>
        <w:tc>
          <w:tcPr>
            <w:tcW w:w="3420" w:type="dxa"/>
            <w:shd w:val="clear" w:color="auto" w:fill="FBE4D5" w:themeFill="accent2" w:themeFillTint="33"/>
          </w:tcPr>
          <w:p w14:paraId="5A879107" w14:textId="77777777" w:rsidR="000D4942" w:rsidRPr="000D4942" w:rsidRDefault="000D4942" w:rsidP="001366C2">
            <w:pPr>
              <w:jc w:val="center"/>
              <w:rPr>
                <w:b/>
                <w:sz w:val="32"/>
              </w:rPr>
            </w:pPr>
            <w:r w:rsidRPr="000D4942">
              <w:rPr>
                <w:b/>
                <w:sz w:val="32"/>
              </w:rPr>
              <w:t>Highest point ladder will touch</w:t>
            </w:r>
          </w:p>
        </w:tc>
      </w:tr>
      <w:tr w:rsidR="000D4942" w:rsidRPr="00436FAC" w14:paraId="60AE61F4" w14:textId="77777777" w:rsidTr="001366C2">
        <w:tc>
          <w:tcPr>
            <w:tcW w:w="1885" w:type="dxa"/>
          </w:tcPr>
          <w:p w14:paraId="5B9887F1" w14:textId="77777777" w:rsidR="000D4942" w:rsidRPr="000D4942" w:rsidRDefault="000D4942" w:rsidP="001366C2">
            <w:pPr>
              <w:jc w:val="center"/>
              <w:rPr>
                <w:color w:val="0070C0"/>
                <w:sz w:val="28"/>
              </w:rPr>
            </w:pPr>
            <w:r w:rsidRPr="000D4942">
              <w:rPr>
                <w:color w:val="0070C0"/>
                <w:sz w:val="28"/>
              </w:rPr>
              <w:t>16 feet</w:t>
            </w:r>
          </w:p>
        </w:tc>
        <w:tc>
          <w:tcPr>
            <w:tcW w:w="2430" w:type="dxa"/>
          </w:tcPr>
          <w:p w14:paraId="05A4077D" w14:textId="77777777" w:rsidR="000D4942" w:rsidRPr="000D4942" w:rsidRDefault="000D4942" w:rsidP="001366C2">
            <w:pPr>
              <w:jc w:val="center"/>
              <w:rPr>
                <w:color w:val="C45911" w:themeColor="accent2" w:themeShade="BF"/>
                <w:sz w:val="28"/>
              </w:rPr>
            </w:pPr>
            <w:r w:rsidRPr="000D4942">
              <w:rPr>
                <w:color w:val="C45911" w:themeColor="accent2" w:themeShade="BF"/>
                <w:sz w:val="28"/>
              </w:rPr>
              <w:t>15 feet</w:t>
            </w:r>
          </w:p>
        </w:tc>
        <w:tc>
          <w:tcPr>
            <w:tcW w:w="3420" w:type="dxa"/>
          </w:tcPr>
          <w:p w14:paraId="00BFFF36" w14:textId="77777777" w:rsidR="000D4942" w:rsidRPr="000D4942" w:rsidRDefault="000D4942" w:rsidP="001366C2">
            <w:pPr>
              <w:jc w:val="center"/>
              <w:rPr>
                <w:color w:val="0070C0"/>
                <w:sz w:val="28"/>
              </w:rPr>
            </w:pPr>
            <w:r w:rsidRPr="000D4942">
              <w:rPr>
                <w:color w:val="0070C0"/>
                <w:sz w:val="28"/>
              </w:rPr>
              <w:t>9 feet maximum</w:t>
            </w:r>
          </w:p>
        </w:tc>
      </w:tr>
      <w:tr w:rsidR="000D4942" w:rsidRPr="00436FAC" w14:paraId="0254D7CA" w14:textId="77777777" w:rsidTr="001366C2">
        <w:tc>
          <w:tcPr>
            <w:tcW w:w="1885" w:type="dxa"/>
          </w:tcPr>
          <w:p w14:paraId="1CF0B558" w14:textId="77777777" w:rsidR="000D4942" w:rsidRPr="000D4942" w:rsidRDefault="000D4942" w:rsidP="001366C2">
            <w:pPr>
              <w:jc w:val="center"/>
              <w:rPr>
                <w:color w:val="0070C0"/>
                <w:sz w:val="28"/>
              </w:rPr>
            </w:pPr>
            <w:r w:rsidRPr="000D4942">
              <w:rPr>
                <w:color w:val="0070C0"/>
                <w:sz w:val="28"/>
              </w:rPr>
              <w:t>20 feet</w:t>
            </w:r>
          </w:p>
        </w:tc>
        <w:tc>
          <w:tcPr>
            <w:tcW w:w="2430" w:type="dxa"/>
          </w:tcPr>
          <w:p w14:paraId="5969BEE5" w14:textId="77777777" w:rsidR="000D4942" w:rsidRPr="000D4942" w:rsidRDefault="000D4942" w:rsidP="001366C2">
            <w:pPr>
              <w:jc w:val="center"/>
              <w:rPr>
                <w:color w:val="C45911" w:themeColor="accent2" w:themeShade="BF"/>
                <w:sz w:val="28"/>
              </w:rPr>
            </w:pPr>
            <w:r w:rsidRPr="000D4942">
              <w:rPr>
                <w:color w:val="C45911" w:themeColor="accent2" w:themeShade="BF"/>
                <w:sz w:val="28"/>
              </w:rPr>
              <w:t>19 feet</w:t>
            </w:r>
          </w:p>
        </w:tc>
        <w:tc>
          <w:tcPr>
            <w:tcW w:w="3420" w:type="dxa"/>
          </w:tcPr>
          <w:p w14:paraId="48CD2D6F" w14:textId="77777777" w:rsidR="000D4942" w:rsidRPr="000D4942" w:rsidRDefault="000D4942" w:rsidP="001366C2">
            <w:pPr>
              <w:jc w:val="center"/>
              <w:rPr>
                <w:color w:val="0070C0"/>
                <w:sz w:val="28"/>
              </w:rPr>
            </w:pPr>
            <w:r w:rsidRPr="000D4942">
              <w:rPr>
                <w:color w:val="0070C0"/>
                <w:sz w:val="28"/>
              </w:rPr>
              <w:t>9 to 13 feet</w:t>
            </w:r>
          </w:p>
        </w:tc>
      </w:tr>
      <w:tr w:rsidR="000D4942" w:rsidRPr="00436FAC" w14:paraId="3F09CA30" w14:textId="77777777" w:rsidTr="001366C2">
        <w:tc>
          <w:tcPr>
            <w:tcW w:w="1885" w:type="dxa"/>
          </w:tcPr>
          <w:p w14:paraId="0BE71968" w14:textId="77777777" w:rsidR="000D4942" w:rsidRPr="000D4942" w:rsidRDefault="000D4942" w:rsidP="001366C2">
            <w:pPr>
              <w:jc w:val="center"/>
              <w:rPr>
                <w:color w:val="0070C0"/>
                <w:sz w:val="28"/>
              </w:rPr>
            </w:pPr>
            <w:r w:rsidRPr="000D4942">
              <w:rPr>
                <w:color w:val="0070C0"/>
                <w:sz w:val="28"/>
              </w:rPr>
              <w:t>24 feet</w:t>
            </w:r>
          </w:p>
        </w:tc>
        <w:tc>
          <w:tcPr>
            <w:tcW w:w="2430" w:type="dxa"/>
          </w:tcPr>
          <w:p w14:paraId="3BC66707" w14:textId="77777777" w:rsidR="000D4942" w:rsidRPr="000D4942" w:rsidRDefault="000D4942" w:rsidP="001366C2">
            <w:pPr>
              <w:jc w:val="center"/>
              <w:rPr>
                <w:color w:val="C45911" w:themeColor="accent2" w:themeShade="BF"/>
                <w:sz w:val="28"/>
              </w:rPr>
            </w:pPr>
            <w:r w:rsidRPr="000D4942">
              <w:rPr>
                <w:color w:val="C45911" w:themeColor="accent2" w:themeShade="BF"/>
                <w:sz w:val="28"/>
              </w:rPr>
              <w:t>23 feet</w:t>
            </w:r>
          </w:p>
        </w:tc>
        <w:tc>
          <w:tcPr>
            <w:tcW w:w="3420" w:type="dxa"/>
          </w:tcPr>
          <w:p w14:paraId="456B4383" w14:textId="77777777" w:rsidR="000D4942" w:rsidRPr="000D4942" w:rsidRDefault="000D4942" w:rsidP="001366C2">
            <w:pPr>
              <w:jc w:val="center"/>
              <w:rPr>
                <w:color w:val="0070C0"/>
                <w:sz w:val="28"/>
              </w:rPr>
            </w:pPr>
            <w:r w:rsidRPr="000D4942">
              <w:rPr>
                <w:color w:val="0070C0"/>
                <w:sz w:val="28"/>
              </w:rPr>
              <w:t>13 to 17 feet</w:t>
            </w:r>
          </w:p>
        </w:tc>
      </w:tr>
      <w:tr w:rsidR="000D4942" w:rsidRPr="00436FAC" w14:paraId="06A9B1CA" w14:textId="77777777" w:rsidTr="001366C2">
        <w:tc>
          <w:tcPr>
            <w:tcW w:w="1885" w:type="dxa"/>
          </w:tcPr>
          <w:p w14:paraId="759E65DB" w14:textId="77777777" w:rsidR="000D4942" w:rsidRPr="000D4942" w:rsidRDefault="000D4942" w:rsidP="001366C2">
            <w:pPr>
              <w:jc w:val="center"/>
              <w:rPr>
                <w:color w:val="0070C0"/>
                <w:sz w:val="28"/>
              </w:rPr>
            </w:pPr>
            <w:r w:rsidRPr="000D4942">
              <w:rPr>
                <w:color w:val="0070C0"/>
                <w:sz w:val="28"/>
              </w:rPr>
              <w:t>28 feet</w:t>
            </w:r>
          </w:p>
        </w:tc>
        <w:tc>
          <w:tcPr>
            <w:tcW w:w="2430" w:type="dxa"/>
          </w:tcPr>
          <w:p w14:paraId="58B67B44" w14:textId="77777777" w:rsidR="000D4942" w:rsidRPr="000D4942" w:rsidRDefault="000D4942" w:rsidP="001366C2">
            <w:pPr>
              <w:jc w:val="center"/>
              <w:rPr>
                <w:color w:val="C45911" w:themeColor="accent2" w:themeShade="BF"/>
                <w:sz w:val="28"/>
              </w:rPr>
            </w:pPr>
            <w:r w:rsidRPr="000D4942">
              <w:rPr>
                <w:color w:val="C45911" w:themeColor="accent2" w:themeShade="BF"/>
                <w:sz w:val="28"/>
              </w:rPr>
              <w:t>27 feet</w:t>
            </w:r>
          </w:p>
        </w:tc>
        <w:tc>
          <w:tcPr>
            <w:tcW w:w="3420" w:type="dxa"/>
          </w:tcPr>
          <w:p w14:paraId="6BA3D184" w14:textId="77777777" w:rsidR="000D4942" w:rsidRPr="000D4942" w:rsidRDefault="000D4942" w:rsidP="001366C2">
            <w:pPr>
              <w:jc w:val="center"/>
              <w:rPr>
                <w:color w:val="0070C0"/>
                <w:sz w:val="28"/>
              </w:rPr>
            </w:pPr>
            <w:r w:rsidRPr="000D4942">
              <w:rPr>
                <w:color w:val="0070C0"/>
                <w:sz w:val="28"/>
              </w:rPr>
              <w:t>17 to 21 feet</w:t>
            </w:r>
          </w:p>
        </w:tc>
      </w:tr>
      <w:tr w:rsidR="000D4942" w:rsidRPr="00436FAC" w14:paraId="2E171128" w14:textId="77777777" w:rsidTr="001366C2">
        <w:tc>
          <w:tcPr>
            <w:tcW w:w="1885" w:type="dxa"/>
          </w:tcPr>
          <w:p w14:paraId="3716372C" w14:textId="77777777" w:rsidR="000D4942" w:rsidRPr="000D4942" w:rsidRDefault="000D4942" w:rsidP="001366C2">
            <w:pPr>
              <w:jc w:val="center"/>
              <w:rPr>
                <w:color w:val="0070C0"/>
                <w:sz w:val="28"/>
              </w:rPr>
            </w:pPr>
            <w:r w:rsidRPr="000D4942">
              <w:rPr>
                <w:color w:val="0070C0"/>
                <w:sz w:val="28"/>
              </w:rPr>
              <w:t>32 feet</w:t>
            </w:r>
          </w:p>
        </w:tc>
        <w:tc>
          <w:tcPr>
            <w:tcW w:w="2430" w:type="dxa"/>
          </w:tcPr>
          <w:p w14:paraId="6A4F73F0" w14:textId="77777777" w:rsidR="000D4942" w:rsidRPr="000D4942" w:rsidRDefault="000D4942" w:rsidP="001366C2">
            <w:pPr>
              <w:jc w:val="center"/>
              <w:rPr>
                <w:color w:val="C45911" w:themeColor="accent2" w:themeShade="BF"/>
                <w:sz w:val="28"/>
              </w:rPr>
            </w:pPr>
            <w:r w:rsidRPr="000D4942">
              <w:rPr>
                <w:color w:val="C45911" w:themeColor="accent2" w:themeShade="BF"/>
                <w:sz w:val="28"/>
              </w:rPr>
              <w:t>31 feet</w:t>
            </w:r>
          </w:p>
        </w:tc>
        <w:tc>
          <w:tcPr>
            <w:tcW w:w="3420" w:type="dxa"/>
          </w:tcPr>
          <w:p w14:paraId="051FC00B" w14:textId="77777777" w:rsidR="000D4942" w:rsidRPr="000D4942" w:rsidRDefault="000D4942" w:rsidP="001366C2">
            <w:pPr>
              <w:jc w:val="center"/>
              <w:rPr>
                <w:color w:val="0070C0"/>
                <w:sz w:val="28"/>
              </w:rPr>
            </w:pPr>
            <w:r w:rsidRPr="000D4942">
              <w:rPr>
                <w:color w:val="0070C0"/>
                <w:sz w:val="28"/>
              </w:rPr>
              <w:t>21 to 25 feet</w:t>
            </w:r>
          </w:p>
        </w:tc>
      </w:tr>
      <w:tr w:rsidR="000D4942" w:rsidRPr="00436FAC" w14:paraId="70526786" w14:textId="77777777" w:rsidTr="001366C2">
        <w:tc>
          <w:tcPr>
            <w:tcW w:w="1885" w:type="dxa"/>
          </w:tcPr>
          <w:p w14:paraId="45F9F6FC" w14:textId="77777777" w:rsidR="000D4942" w:rsidRPr="000D4942" w:rsidRDefault="000D4942" w:rsidP="001366C2">
            <w:pPr>
              <w:jc w:val="center"/>
              <w:rPr>
                <w:color w:val="0070C0"/>
                <w:sz w:val="28"/>
              </w:rPr>
            </w:pPr>
            <w:r w:rsidRPr="000D4942">
              <w:rPr>
                <w:color w:val="0070C0"/>
                <w:sz w:val="28"/>
              </w:rPr>
              <w:t>36 feet</w:t>
            </w:r>
          </w:p>
        </w:tc>
        <w:tc>
          <w:tcPr>
            <w:tcW w:w="2430" w:type="dxa"/>
          </w:tcPr>
          <w:p w14:paraId="2184F804" w14:textId="77777777" w:rsidR="000D4942" w:rsidRPr="000D4942" w:rsidRDefault="000D4942" w:rsidP="001366C2">
            <w:pPr>
              <w:jc w:val="center"/>
              <w:rPr>
                <w:color w:val="C45911" w:themeColor="accent2" w:themeShade="BF"/>
                <w:sz w:val="28"/>
              </w:rPr>
            </w:pPr>
            <w:r w:rsidRPr="000D4942">
              <w:rPr>
                <w:color w:val="C45911" w:themeColor="accent2" w:themeShade="BF"/>
                <w:sz w:val="28"/>
              </w:rPr>
              <w:t>34 feet</w:t>
            </w:r>
          </w:p>
        </w:tc>
        <w:tc>
          <w:tcPr>
            <w:tcW w:w="3420" w:type="dxa"/>
          </w:tcPr>
          <w:p w14:paraId="052B7C76" w14:textId="77777777" w:rsidR="000D4942" w:rsidRPr="000D4942" w:rsidRDefault="000D4942" w:rsidP="001366C2">
            <w:pPr>
              <w:jc w:val="center"/>
              <w:rPr>
                <w:color w:val="0070C0"/>
                <w:sz w:val="28"/>
              </w:rPr>
            </w:pPr>
            <w:r w:rsidRPr="000D4942">
              <w:rPr>
                <w:color w:val="0070C0"/>
                <w:sz w:val="28"/>
              </w:rPr>
              <w:t>25 to 28 feet</w:t>
            </w:r>
          </w:p>
        </w:tc>
      </w:tr>
      <w:tr w:rsidR="000D4942" w:rsidRPr="00436FAC" w14:paraId="481FA7DA" w14:textId="77777777" w:rsidTr="001366C2">
        <w:tc>
          <w:tcPr>
            <w:tcW w:w="1885" w:type="dxa"/>
          </w:tcPr>
          <w:p w14:paraId="245A6369" w14:textId="77777777" w:rsidR="000D4942" w:rsidRPr="000D4942" w:rsidRDefault="000D4942" w:rsidP="001366C2">
            <w:pPr>
              <w:jc w:val="center"/>
              <w:rPr>
                <w:color w:val="0070C0"/>
                <w:sz w:val="28"/>
              </w:rPr>
            </w:pPr>
            <w:r w:rsidRPr="000D4942">
              <w:rPr>
                <w:color w:val="0070C0"/>
                <w:sz w:val="28"/>
              </w:rPr>
              <w:t>40 feet</w:t>
            </w:r>
          </w:p>
        </w:tc>
        <w:tc>
          <w:tcPr>
            <w:tcW w:w="2430" w:type="dxa"/>
          </w:tcPr>
          <w:p w14:paraId="3AA483FE" w14:textId="77777777" w:rsidR="000D4942" w:rsidRPr="000D4942" w:rsidRDefault="000D4942" w:rsidP="001366C2">
            <w:pPr>
              <w:jc w:val="center"/>
              <w:rPr>
                <w:color w:val="C45911" w:themeColor="accent2" w:themeShade="BF"/>
                <w:sz w:val="28"/>
              </w:rPr>
            </w:pPr>
            <w:r w:rsidRPr="000D4942">
              <w:rPr>
                <w:color w:val="C45911" w:themeColor="accent2" w:themeShade="BF"/>
                <w:sz w:val="28"/>
              </w:rPr>
              <w:t>37 feet</w:t>
            </w:r>
          </w:p>
        </w:tc>
        <w:tc>
          <w:tcPr>
            <w:tcW w:w="3420" w:type="dxa"/>
          </w:tcPr>
          <w:p w14:paraId="546880BD" w14:textId="77777777" w:rsidR="000D4942" w:rsidRPr="000D4942" w:rsidRDefault="000D4942" w:rsidP="001366C2">
            <w:pPr>
              <w:jc w:val="center"/>
              <w:rPr>
                <w:color w:val="0070C0"/>
                <w:sz w:val="28"/>
              </w:rPr>
            </w:pPr>
            <w:r w:rsidRPr="000D4942">
              <w:rPr>
                <w:color w:val="0070C0"/>
                <w:sz w:val="28"/>
              </w:rPr>
              <w:t>28 to 31 feet</w:t>
            </w:r>
          </w:p>
        </w:tc>
      </w:tr>
    </w:tbl>
    <w:p w14:paraId="01774432" w14:textId="77777777" w:rsidR="0078778B" w:rsidRDefault="0078778B" w:rsidP="000D4942">
      <w:pPr>
        <w:jc w:val="center"/>
      </w:pPr>
    </w:p>
    <w:p w14:paraId="577FD827" w14:textId="77777777" w:rsidR="0078778B" w:rsidRPr="0078778B" w:rsidRDefault="0078778B" w:rsidP="0078778B"/>
    <w:p w14:paraId="5E942D87" w14:textId="77777777" w:rsidR="0078778B" w:rsidRPr="0078778B" w:rsidRDefault="0078778B" w:rsidP="0078778B"/>
    <w:p w14:paraId="75A385C8" w14:textId="77777777" w:rsidR="0078778B" w:rsidRPr="0078778B" w:rsidRDefault="0078778B" w:rsidP="0078778B"/>
    <w:p w14:paraId="1D503F85" w14:textId="77777777" w:rsidR="0078778B" w:rsidRPr="0078778B" w:rsidRDefault="0078778B" w:rsidP="0078778B"/>
    <w:p w14:paraId="2AA1A084" w14:textId="77777777" w:rsidR="0078778B" w:rsidRDefault="0078778B" w:rsidP="0078778B"/>
    <w:p w14:paraId="1597C192" w14:textId="77777777" w:rsidR="000D4942" w:rsidRDefault="000D4942" w:rsidP="0078778B"/>
    <w:p w14:paraId="79E9BACD" w14:textId="77777777" w:rsidR="0078778B" w:rsidRDefault="0078778B" w:rsidP="0078778B"/>
    <w:p w14:paraId="16B05697" w14:textId="77777777" w:rsidR="00FD2F19" w:rsidRDefault="0078778B" w:rsidP="0078778B">
      <w:pPr>
        <w:rPr>
          <w:color w:val="1F497D"/>
          <w:sz w:val="24"/>
        </w:rPr>
      </w:pPr>
      <w:r w:rsidRPr="00FD2F19">
        <w:rPr>
          <w:color w:val="1F497D"/>
          <w:sz w:val="24"/>
        </w:rPr>
        <w:t>Extension ladders range in length from 16 feet up to and exceeding 40 feet. All non-self-supported ladders should extend a minimum distance of 3 feet past the edge they rest against but not more than 4 feet. Extension ladders should be at the proper height and angle for optimum safety and stability. When determining proper working height/angle, extension ladders should be set at a 4:1 ratio from the foot to the top support. Each section of a multi-section ladder must overlap the adjacent section by at least 3 feet for ladders up to 36 feet and 4 feet for 40 feet or longer extension ladders. For example, a 24-foot extension ladder will consist of two sections each 12 feet long, but the maximum extended length will be 21 feet, because the sections overlap by no less than 1½ feet when the ladder is at maximum extension.</w:t>
      </w:r>
    </w:p>
    <w:p w14:paraId="05F6AC1C" w14:textId="77777777" w:rsidR="00FE6E74" w:rsidRPr="00FD2F19" w:rsidRDefault="00FE6E74" w:rsidP="00FE6E74">
      <w:pPr>
        <w:spacing w:after="0"/>
        <w:rPr>
          <w:color w:val="1F497D"/>
          <w:sz w:val="24"/>
        </w:rPr>
      </w:pPr>
    </w:p>
    <w:tbl>
      <w:tblPr>
        <w:tblpPr w:leftFromText="180" w:rightFromText="180" w:vertAnchor="text" w:tblpY="1"/>
        <w:tblOverlap w:val="never"/>
        <w:tblW w:w="5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660"/>
        <w:gridCol w:w="2975"/>
      </w:tblGrid>
      <w:tr w:rsidR="0078778B" w:rsidRPr="0078778B" w14:paraId="08C36008" w14:textId="77777777" w:rsidTr="00FD2F19">
        <w:trPr>
          <w:trHeight w:val="290"/>
        </w:trPr>
        <w:tc>
          <w:tcPr>
            <w:tcW w:w="1300" w:type="dxa"/>
            <w:shd w:val="clear" w:color="auto" w:fill="FBE4D5" w:themeFill="accent2" w:themeFillTint="33"/>
            <w:noWrap/>
            <w:vAlign w:val="center"/>
            <w:hideMark/>
          </w:tcPr>
          <w:p w14:paraId="63356C10" w14:textId="77777777" w:rsidR="0078778B" w:rsidRPr="0078778B" w:rsidRDefault="0078778B" w:rsidP="00FD2F19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78778B">
              <w:rPr>
                <w:b/>
                <w:sz w:val="32"/>
              </w:rPr>
              <w:t>Ladder Type</w:t>
            </w:r>
          </w:p>
        </w:tc>
        <w:tc>
          <w:tcPr>
            <w:tcW w:w="1660" w:type="dxa"/>
            <w:shd w:val="clear" w:color="auto" w:fill="FBE4D5" w:themeFill="accent2" w:themeFillTint="33"/>
            <w:noWrap/>
            <w:vAlign w:val="center"/>
            <w:hideMark/>
          </w:tcPr>
          <w:p w14:paraId="137F7D01" w14:textId="77777777" w:rsidR="0078778B" w:rsidRPr="0078778B" w:rsidRDefault="0078778B" w:rsidP="00FD2F19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78778B">
              <w:rPr>
                <w:b/>
                <w:sz w:val="32"/>
              </w:rPr>
              <w:t>Load Limit</w:t>
            </w:r>
          </w:p>
        </w:tc>
        <w:tc>
          <w:tcPr>
            <w:tcW w:w="2975" w:type="dxa"/>
            <w:shd w:val="clear" w:color="auto" w:fill="FBE4D5" w:themeFill="accent2" w:themeFillTint="33"/>
            <w:noWrap/>
            <w:vAlign w:val="center"/>
            <w:hideMark/>
          </w:tcPr>
          <w:p w14:paraId="1CEB4504" w14:textId="77777777" w:rsidR="0078778B" w:rsidRPr="0078778B" w:rsidRDefault="0078778B" w:rsidP="00FD2F19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78778B">
              <w:rPr>
                <w:b/>
                <w:sz w:val="32"/>
              </w:rPr>
              <w:t>Description</w:t>
            </w:r>
          </w:p>
        </w:tc>
      </w:tr>
      <w:tr w:rsidR="0078778B" w:rsidRPr="0078778B" w14:paraId="20F64E56" w14:textId="77777777" w:rsidTr="00FD2F19">
        <w:trPr>
          <w:trHeight w:val="29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A47C183" w14:textId="77777777" w:rsidR="0078778B" w:rsidRPr="0078778B" w:rsidRDefault="0078778B" w:rsidP="00FD2F19">
            <w:pPr>
              <w:spacing w:after="0" w:line="240" w:lineRule="auto"/>
              <w:jc w:val="center"/>
              <w:rPr>
                <w:color w:val="0070C0"/>
                <w:sz w:val="28"/>
              </w:rPr>
            </w:pPr>
            <w:r w:rsidRPr="0078778B">
              <w:rPr>
                <w:color w:val="0070C0"/>
                <w:sz w:val="28"/>
              </w:rPr>
              <w:t>Type 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DD797AE" w14:textId="77777777" w:rsidR="0078778B" w:rsidRPr="0078778B" w:rsidRDefault="0078778B" w:rsidP="00FD2F19">
            <w:pPr>
              <w:spacing w:after="0" w:line="240" w:lineRule="auto"/>
              <w:jc w:val="center"/>
              <w:rPr>
                <w:color w:val="C45911" w:themeColor="accent2" w:themeShade="BF"/>
                <w:sz w:val="28"/>
              </w:rPr>
            </w:pPr>
            <w:r w:rsidRPr="0078778B">
              <w:rPr>
                <w:color w:val="C45911" w:themeColor="accent2" w:themeShade="BF"/>
                <w:sz w:val="28"/>
              </w:rPr>
              <w:t xml:space="preserve">AA 375 </w:t>
            </w:r>
            <w:r w:rsidR="00FD2F19" w:rsidRPr="0078778B">
              <w:rPr>
                <w:color w:val="C45911" w:themeColor="accent2" w:themeShade="BF"/>
                <w:sz w:val="28"/>
              </w:rPr>
              <w:t>lbs.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14:paraId="12E2C6EE" w14:textId="77777777" w:rsidR="0078778B" w:rsidRPr="0078778B" w:rsidRDefault="0078778B" w:rsidP="00FD2F19">
            <w:pPr>
              <w:spacing w:after="0" w:line="240" w:lineRule="auto"/>
              <w:jc w:val="center"/>
              <w:rPr>
                <w:color w:val="0070C0"/>
                <w:sz w:val="28"/>
              </w:rPr>
            </w:pPr>
            <w:r w:rsidRPr="0078778B">
              <w:rPr>
                <w:color w:val="0070C0"/>
                <w:sz w:val="28"/>
              </w:rPr>
              <w:t xml:space="preserve"> Special Duty</w:t>
            </w:r>
          </w:p>
        </w:tc>
      </w:tr>
      <w:tr w:rsidR="0078778B" w:rsidRPr="0078778B" w14:paraId="6C10C971" w14:textId="77777777" w:rsidTr="00FD2F19">
        <w:trPr>
          <w:trHeight w:val="29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42803B9" w14:textId="77777777" w:rsidR="0078778B" w:rsidRPr="0078778B" w:rsidRDefault="0078778B" w:rsidP="00FD2F19">
            <w:pPr>
              <w:spacing w:after="0" w:line="240" w:lineRule="auto"/>
              <w:jc w:val="center"/>
              <w:rPr>
                <w:color w:val="0070C0"/>
                <w:sz w:val="28"/>
              </w:rPr>
            </w:pPr>
            <w:r w:rsidRPr="0078778B">
              <w:rPr>
                <w:color w:val="0070C0"/>
                <w:sz w:val="28"/>
              </w:rPr>
              <w:t>Type 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E2398D0" w14:textId="77777777" w:rsidR="0078778B" w:rsidRPr="0078778B" w:rsidRDefault="0078778B" w:rsidP="00FD2F19">
            <w:pPr>
              <w:spacing w:after="0" w:line="240" w:lineRule="auto"/>
              <w:jc w:val="center"/>
              <w:rPr>
                <w:color w:val="C45911" w:themeColor="accent2" w:themeShade="BF"/>
                <w:sz w:val="28"/>
              </w:rPr>
            </w:pPr>
            <w:r w:rsidRPr="0078778B">
              <w:rPr>
                <w:color w:val="C45911" w:themeColor="accent2" w:themeShade="BF"/>
                <w:sz w:val="28"/>
              </w:rPr>
              <w:t xml:space="preserve">A 300 </w:t>
            </w:r>
            <w:r w:rsidR="00FD2F19" w:rsidRPr="0078778B">
              <w:rPr>
                <w:color w:val="C45911" w:themeColor="accent2" w:themeShade="BF"/>
                <w:sz w:val="28"/>
              </w:rPr>
              <w:t>lbs.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14:paraId="26AA3DC7" w14:textId="77777777" w:rsidR="0078778B" w:rsidRPr="0078778B" w:rsidRDefault="0078778B" w:rsidP="00FD2F19">
            <w:pPr>
              <w:spacing w:after="0" w:line="240" w:lineRule="auto"/>
              <w:jc w:val="center"/>
              <w:rPr>
                <w:color w:val="0070C0"/>
                <w:sz w:val="28"/>
              </w:rPr>
            </w:pPr>
            <w:r w:rsidRPr="0078778B">
              <w:rPr>
                <w:color w:val="0070C0"/>
                <w:sz w:val="28"/>
              </w:rPr>
              <w:t xml:space="preserve"> Heavy Duty Industrial</w:t>
            </w:r>
          </w:p>
        </w:tc>
      </w:tr>
      <w:tr w:rsidR="0078778B" w:rsidRPr="0078778B" w14:paraId="579C93AC" w14:textId="77777777" w:rsidTr="00FD2F19">
        <w:trPr>
          <w:trHeight w:val="29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B0CDF32" w14:textId="77777777" w:rsidR="0078778B" w:rsidRPr="0078778B" w:rsidRDefault="0078778B" w:rsidP="00FD2F19">
            <w:pPr>
              <w:spacing w:after="0" w:line="240" w:lineRule="auto"/>
              <w:jc w:val="center"/>
              <w:rPr>
                <w:color w:val="0070C0"/>
                <w:sz w:val="28"/>
              </w:rPr>
            </w:pPr>
            <w:r w:rsidRPr="0078778B">
              <w:rPr>
                <w:color w:val="0070C0"/>
                <w:sz w:val="28"/>
              </w:rPr>
              <w:t>Type I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7DB77C7" w14:textId="77777777" w:rsidR="0078778B" w:rsidRPr="0078778B" w:rsidRDefault="0078778B" w:rsidP="00FD2F19">
            <w:pPr>
              <w:spacing w:after="0" w:line="240" w:lineRule="auto"/>
              <w:jc w:val="center"/>
              <w:rPr>
                <w:color w:val="C45911" w:themeColor="accent2" w:themeShade="BF"/>
                <w:sz w:val="28"/>
              </w:rPr>
            </w:pPr>
            <w:r w:rsidRPr="0078778B">
              <w:rPr>
                <w:color w:val="C45911" w:themeColor="accent2" w:themeShade="BF"/>
                <w:sz w:val="28"/>
              </w:rPr>
              <w:t xml:space="preserve">250 </w:t>
            </w:r>
            <w:r w:rsidR="00FD2F19" w:rsidRPr="0078778B">
              <w:rPr>
                <w:color w:val="C45911" w:themeColor="accent2" w:themeShade="BF"/>
                <w:sz w:val="28"/>
              </w:rPr>
              <w:t>lbs.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14:paraId="598ED55F" w14:textId="77777777" w:rsidR="0078778B" w:rsidRPr="0078778B" w:rsidRDefault="0078778B" w:rsidP="00FD2F19">
            <w:pPr>
              <w:spacing w:after="0" w:line="240" w:lineRule="auto"/>
              <w:jc w:val="center"/>
              <w:rPr>
                <w:color w:val="0070C0"/>
                <w:sz w:val="28"/>
              </w:rPr>
            </w:pPr>
            <w:r w:rsidRPr="0078778B">
              <w:rPr>
                <w:color w:val="0070C0"/>
                <w:sz w:val="28"/>
              </w:rPr>
              <w:t xml:space="preserve"> Heavy Duty</w:t>
            </w:r>
          </w:p>
        </w:tc>
      </w:tr>
      <w:tr w:rsidR="0078778B" w:rsidRPr="0078778B" w14:paraId="6CD4F6A7" w14:textId="77777777" w:rsidTr="00FD2F19">
        <w:trPr>
          <w:trHeight w:val="29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CDA187C" w14:textId="77777777" w:rsidR="0078778B" w:rsidRPr="0078778B" w:rsidRDefault="0078778B" w:rsidP="00FD2F19">
            <w:pPr>
              <w:spacing w:after="0" w:line="240" w:lineRule="auto"/>
              <w:jc w:val="center"/>
              <w:rPr>
                <w:color w:val="0070C0"/>
                <w:sz w:val="28"/>
              </w:rPr>
            </w:pPr>
            <w:r w:rsidRPr="0078778B">
              <w:rPr>
                <w:color w:val="0070C0"/>
                <w:sz w:val="28"/>
              </w:rPr>
              <w:t>Type II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5EA0F35" w14:textId="77777777" w:rsidR="0078778B" w:rsidRPr="0078778B" w:rsidRDefault="0078778B" w:rsidP="00FD2F19">
            <w:pPr>
              <w:spacing w:after="0" w:line="240" w:lineRule="auto"/>
              <w:jc w:val="center"/>
              <w:rPr>
                <w:color w:val="C45911" w:themeColor="accent2" w:themeShade="BF"/>
                <w:sz w:val="28"/>
              </w:rPr>
            </w:pPr>
            <w:r w:rsidRPr="0078778B">
              <w:rPr>
                <w:color w:val="C45911" w:themeColor="accent2" w:themeShade="BF"/>
                <w:sz w:val="28"/>
              </w:rPr>
              <w:t xml:space="preserve">225 </w:t>
            </w:r>
            <w:r w:rsidR="00FD2F19" w:rsidRPr="0078778B">
              <w:rPr>
                <w:color w:val="C45911" w:themeColor="accent2" w:themeShade="BF"/>
                <w:sz w:val="28"/>
              </w:rPr>
              <w:t>lbs.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14:paraId="3F564D01" w14:textId="77777777" w:rsidR="0078778B" w:rsidRPr="0078778B" w:rsidRDefault="0078778B" w:rsidP="00FD2F19">
            <w:pPr>
              <w:spacing w:after="0" w:line="240" w:lineRule="auto"/>
              <w:jc w:val="center"/>
              <w:rPr>
                <w:color w:val="0070C0"/>
                <w:sz w:val="28"/>
              </w:rPr>
            </w:pPr>
            <w:r w:rsidRPr="0078778B">
              <w:rPr>
                <w:color w:val="0070C0"/>
                <w:sz w:val="28"/>
              </w:rPr>
              <w:t>Medium Duty</w:t>
            </w:r>
          </w:p>
        </w:tc>
      </w:tr>
      <w:tr w:rsidR="0078778B" w:rsidRPr="0078778B" w14:paraId="699B139A" w14:textId="77777777" w:rsidTr="00FD2F19">
        <w:trPr>
          <w:trHeight w:val="29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10755F6" w14:textId="77777777" w:rsidR="0078778B" w:rsidRPr="0078778B" w:rsidRDefault="0078778B" w:rsidP="00FD2F19">
            <w:pPr>
              <w:spacing w:after="0" w:line="240" w:lineRule="auto"/>
              <w:jc w:val="center"/>
              <w:rPr>
                <w:color w:val="0070C0"/>
                <w:sz w:val="28"/>
              </w:rPr>
            </w:pPr>
            <w:r w:rsidRPr="0078778B">
              <w:rPr>
                <w:color w:val="0070C0"/>
                <w:sz w:val="28"/>
              </w:rPr>
              <w:t>Type III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1798A6B" w14:textId="54CA60C8" w:rsidR="0078778B" w:rsidRPr="0078778B" w:rsidRDefault="0078778B" w:rsidP="00FD2F19">
            <w:pPr>
              <w:spacing w:after="0" w:line="240" w:lineRule="auto"/>
              <w:jc w:val="center"/>
              <w:rPr>
                <w:color w:val="C45911" w:themeColor="accent2" w:themeShade="BF"/>
                <w:sz w:val="28"/>
              </w:rPr>
            </w:pPr>
            <w:r w:rsidRPr="0078778B">
              <w:rPr>
                <w:color w:val="C45911" w:themeColor="accent2" w:themeShade="BF"/>
                <w:sz w:val="28"/>
              </w:rPr>
              <w:t>2</w:t>
            </w:r>
            <w:r w:rsidR="00073062">
              <w:rPr>
                <w:color w:val="C45911" w:themeColor="accent2" w:themeShade="BF"/>
                <w:sz w:val="28"/>
              </w:rPr>
              <w:t>00</w:t>
            </w:r>
            <w:r w:rsidRPr="0078778B">
              <w:rPr>
                <w:color w:val="C45911" w:themeColor="accent2" w:themeShade="BF"/>
                <w:sz w:val="28"/>
              </w:rPr>
              <w:t xml:space="preserve"> lbs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14:paraId="3EC012B9" w14:textId="77777777" w:rsidR="0078778B" w:rsidRPr="0078778B" w:rsidRDefault="0078778B" w:rsidP="00FD2F19">
            <w:pPr>
              <w:spacing w:after="0" w:line="240" w:lineRule="auto"/>
              <w:jc w:val="center"/>
              <w:rPr>
                <w:color w:val="0070C0"/>
                <w:sz w:val="28"/>
              </w:rPr>
            </w:pPr>
            <w:r w:rsidRPr="0078778B">
              <w:rPr>
                <w:color w:val="0070C0"/>
                <w:sz w:val="28"/>
              </w:rPr>
              <w:t>Light Duty</w:t>
            </w:r>
          </w:p>
        </w:tc>
      </w:tr>
    </w:tbl>
    <w:p w14:paraId="7D4BF753" w14:textId="77777777" w:rsidR="00FD2F19" w:rsidRDefault="00FD2F19" w:rsidP="0078778B">
      <w:pPr>
        <w:rPr>
          <w:sz w:val="28"/>
        </w:rPr>
      </w:pPr>
    </w:p>
    <w:p w14:paraId="665C1912" w14:textId="77777777" w:rsidR="00FD2F19" w:rsidRPr="00FD2F19" w:rsidRDefault="00FD2F19" w:rsidP="00FD2F19">
      <w:pPr>
        <w:rPr>
          <w:sz w:val="28"/>
        </w:rPr>
      </w:pPr>
    </w:p>
    <w:p w14:paraId="763AB35C" w14:textId="77777777" w:rsidR="00FD2F19" w:rsidRPr="00FD2F19" w:rsidRDefault="00FD2F19" w:rsidP="00FD2F19">
      <w:pPr>
        <w:rPr>
          <w:sz w:val="28"/>
        </w:rPr>
      </w:pPr>
    </w:p>
    <w:p w14:paraId="44FFB8DF" w14:textId="77777777" w:rsidR="00FD2F19" w:rsidRDefault="00FD2F19" w:rsidP="00FD2F19">
      <w:pPr>
        <w:rPr>
          <w:sz w:val="28"/>
        </w:rPr>
      </w:pPr>
    </w:p>
    <w:p w14:paraId="216424F2" w14:textId="77777777" w:rsidR="0078778B" w:rsidRDefault="0078778B" w:rsidP="00FD2F19">
      <w:pPr>
        <w:rPr>
          <w:sz w:val="28"/>
        </w:rPr>
      </w:pPr>
    </w:p>
    <w:p w14:paraId="19EA1AE7" w14:textId="77777777" w:rsidR="00FD2F19" w:rsidRPr="00FD2F19" w:rsidRDefault="00FD2F19" w:rsidP="00FE6E74">
      <w:pPr>
        <w:spacing w:after="0"/>
        <w:rPr>
          <w:sz w:val="20"/>
        </w:rPr>
      </w:pPr>
    </w:p>
    <w:p w14:paraId="4516D23B" w14:textId="77777777" w:rsidR="00FD2F19" w:rsidRPr="00FD2F19" w:rsidRDefault="00FD2F19" w:rsidP="00FD2F19">
      <w:pPr>
        <w:rPr>
          <w:color w:val="1F497D"/>
          <w:sz w:val="24"/>
        </w:rPr>
      </w:pPr>
      <w:r>
        <w:rPr>
          <w:color w:val="1F497D"/>
          <w:sz w:val="24"/>
        </w:rPr>
        <w:t>E</w:t>
      </w:r>
      <w:r w:rsidRPr="00FD2F19">
        <w:rPr>
          <w:color w:val="1F497D"/>
          <w:sz w:val="24"/>
        </w:rPr>
        <w:t xml:space="preserve">ach ladder has a different load limit, as shown in the load limit table </w:t>
      </w:r>
      <w:r>
        <w:rPr>
          <w:color w:val="1F497D"/>
          <w:sz w:val="24"/>
        </w:rPr>
        <w:t>above</w:t>
      </w:r>
      <w:r w:rsidRPr="00FD2F19">
        <w:rPr>
          <w:color w:val="1F497D"/>
          <w:sz w:val="24"/>
        </w:rPr>
        <w:t xml:space="preserve">. Your weight and the weight of the tools or equipment carried </w:t>
      </w:r>
      <w:r>
        <w:rPr>
          <w:color w:val="1F497D"/>
          <w:sz w:val="24"/>
        </w:rPr>
        <w:t>factor</w:t>
      </w:r>
      <w:r w:rsidRPr="00FD2F19">
        <w:rPr>
          <w:color w:val="1F497D"/>
          <w:sz w:val="24"/>
        </w:rPr>
        <w:t xml:space="preserve"> into the load limit of the ladder. </w:t>
      </w:r>
      <w:r>
        <w:rPr>
          <w:color w:val="1F497D"/>
          <w:sz w:val="24"/>
        </w:rPr>
        <w:t>M</w:t>
      </w:r>
      <w:r w:rsidRPr="00FD2F19">
        <w:rPr>
          <w:color w:val="1F497D"/>
          <w:sz w:val="24"/>
        </w:rPr>
        <w:t>ake sure that the ladder you are using can handle the combined weight of the person and the tools or equipment carried up and down the ladder</w:t>
      </w:r>
      <w:r>
        <w:rPr>
          <w:color w:val="1F497D"/>
          <w:sz w:val="24"/>
        </w:rPr>
        <w:t>, to avoid instability, collapse or failure</w:t>
      </w:r>
      <w:r w:rsidRPr="00FD2F19">
        <w:rPr>
          <w:color w:val="1F497D"/>
          <w:sz w:val="24"/>
        </w:rPr>
        <w:t>.</w:t>
      </w:r>
    </w:p>
    <w:sectPr w:rsidR="00FD2F19" w:rsidRPr="00FD2F19" w:rsidSect="00FD2F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BEF1" w14:textId="77777777" w:rsidR="000D4942" w:rsidRDefault="000D4942" w:rsidP="000D4942">
      <w:pPr>
        <w:spacing w:after="0" w:line="240" w:lineRule="auto"/>
      </w:pPr>
      <w:r>
        <w:separator/>
      </w:r>
    </w:p>
  </w:endnote>
  <w:endnote w:type="continuationSeparator" w:id="0">
    <w:p w14:paraId="176CAAC7" w14:textId="77777777" w:rsidR="000D4942" w:rsidRDefault="000D4942" w:rsidP="000D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1B65" w14:textId="77777777" w:rsidR="00FE6E74" w:rsidRDefault="00FE6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1682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86E94CB" w14:textId="77777777" w:rsidR="00FE6E74" w:rsidRDefault="00FE6E7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8BC" w:rsidRPr="006848B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54F12F3" w14:textId="77777777" w:rsidR="00FE6E74" w:rsidRDefault="00FE6E74">
    <w:pPr>
      <w:pStyle w:val="Footer"/>
    </w:pPr>
    <w:r>
      <w:t>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A548" w14:textId="77777777" w:rsidR="00FE6E74" w:rsidRDefault="00FE6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FCB8" w14:textId="77777777" w:rsidR="000D4942" w:rsidRDefault="000D4942" w:rsidP="000D4942">
      <w:pPr>
        <w:spacing w:after="0" w:line="240" w:lineRule="auto"/>
      </w:pPr>
      <w:r>
        <w:separator/>
      </w:r>
    </w:p>
  </w:footnote>
  <w:footnote w:type="continuationSeparator" w:id="0">
    <w:p w14:paraId="7DB084B9" w14:textId="77777777" w:rsidR="000D4942" w:rsidRDefault="000D4942" w:rsidP="000D4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9014" w14:textId="77777777" w:rsidR="00FE6E74" w:rsidRDefault="00FE6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4C0" w14:textId="77777777" w:rsidR="00FE6E74" w:rsidRDefault="00FE6E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85FC" w14:textId="77777777" w:rsidR="00FE6E74" w:rsidRDefault="00FE6E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AC"/>
    <w:rsid w:val="00073062"/>
    <w:rsid w:val="000D4942"/>
    <w:rsid w:val="00436FAC"/>
    <w:rsid w:val="004B7B6C"/>
    <w:rsid w:val="006848BC"/>
    <w:rsid w:val="0078778B"/>
    <w:rsid w:val="00FD2F19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58907E"/>
  <w15:chartTrackingRefBased/>
  <w15:docId w15:val="{F12DB3EB-01D4-4D4B-9B6D-C8DDCA44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942"/>
  </w:style>
  <w:style w:type="paragraph" w:styleId="Footer">
    <w:name w:val="footer"/>
    <w:basedOn w:val="Normal"/>
    <w:link w:val="FooterChar"/>
    <w:uiPriority w:val="99"/>
    <w:unhideWhenUsed/>
    <w:rsid w:val="000D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Alliant Insurance Services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Midyett</dc:creator>
  <cp:keywords/>
  <dc:description/>
  <cp:lastModifiedBy>Clay Williams</cp:lastModifiedBy>
  <cp:revision>3</cp:revision>
  <dcterms:created xsi:type="dcterms:W3CDTF">2023-04-28T19:56:00Z</dcterms:created>
  <dcterms:modified xsi:type="dcterms:W3CDTF">2023-05-01T21:12:00Z</dcterms:modified>
</cp:coreProperties>
</file>